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Default="00F52E7B" w:rsidP="0032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321BA3" w:rsidRPr="00321BA3">
        <w:rPr>
          <w:b/>
          <w:sz w:val="28"/>
          <w:szCs w:val="28"/>
        </w:rPr>
        <w:t>постановления Администрации муниципального образования «Город Майкоп» «</w:t>
      </w:r>
      <w:r w:rsidR="00E2409A" w:rsidRPr="00E2409A">
        <w:rPr>
          <w:b/>
          <w:sz w:val="28"/>
          <w:szCs w:val="28"/>
        </w:rPr>
        <w:t>О создании межведомственной комиссии по рассмотрению заявлений от юридических лиц по организации розничных рынков на территории муниципального образования «Город Майкоп»</w:t>
      </w: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r w:rsidR="00B01EF8" w:rsidRPr="00DE376B">
        <w:rPr>
          <w:i/>
          <w:sz w:val="28"/>
          <w:szCs w:val="28"/>
        </w:rPr>
        <w:t>которые, по Вашему мнению</w:t>
      </w:r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321BA3"/>
    <w:rsid w:val="00365F61"/>
    <w:rsid w:val="00403C4F"/>
    <w:rsid w:val="004C47DA"/>
    <w:rsid w:val="005C151F"/>
    <w:rsid w:val="00B01EF8"/>
    <w:rsid w:val="00C4322C"/>
    <w:rsid w:val="00C52E05"/>
    <w:rsid w:val="00E2409A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5</cp:revision>
  <dcterms:created xsi:type="dcterms:W3CDTF">2015-06-15T12:21:00Z</dcterms:created>
  <dcterms:modified xsi:type="dcterms:W3CDTF">2017-10-01T06:54:00Z</dcterms:modified>
</cp:coreProperties>
</file>